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B2572A" w14:textId="77777777" w:rsidR="00763C18" w:rsidRPr="00A17076" w:rsidRDefault="00763C18" w:rsidP="00763C18">
      <w:pPr>
        <w:jc w:val="center"/>
        <w:rPr>
          <w:b/>
          <w:szCs w:val="26"/>
        </w:rPr>
      </w:pPr>
      <w:r w:rsidRPr="00A17076">
        <w:rPr>
          <w:b/>
          <w:szCs w:val="26"/>
        </w:rPr>
        <w:t>CỘNG HOÀ XÃ HỘI CHỦ NGHĨA VIỆT NAM</w:t>
      </w:r>
    </w:p>
    <w:p w14:paraId="22C69EFB" w14:textId="77777777" w:rsidR="00763C18" w:rsidRPr="00A17076" w:rsidRDefault="00763C18" w:rsidP="00763C18">
      <w:pPr>
        <w:jc w:val="center"/>
        <w:rPr>
          <w:b/>
        </w:rPr>
      </w:pPr>
      <w:r w:rsidRPr="00A17076">
        <w:rPr>
          <w:b/>
          <w:szCs w:val="26"/>
        </w:rPr>
        <w:t>Độc lập – Tự do – Hạnh phúc</w:t>
      </w:r>
    </w:p>
    <w:p w14:paraId="38CDC9EB" w14:textId="77777777" w:rsidR="00763C18" w:rsidRPr="00A17076" w:rsidRDefault="00763C18" w:rsidP="00763C18">
      <w:pPr>
        <w:jc w:val="center"/>
        <w:rPr>
          <w:b/>
        </w:rPr>
      </w:pPr>
      <w:r w:rsidRPr="00A17076">
        <w:rPr>
          <w:b/>
          <w:noProof/>
          <w:szCs w:val="26"/>
        </w:rPr>
        <mc:AlternateContent>
          <mc:Choice Requires="wps">
            <w:drawing>
              <wp:anchor distT="0" distB="0" distL="114300" distR="114300" simplePos="0" relativeHeight="251660288" behindDoc="0" locked="0" layoutInCell="1" allowOverlap="1" wp14:anchorId="61869C01" wp14:editId="041BCFB9">
                <wp:simplePos x="0" y="0"/>
                <wp:positionH relativeFrom="margin">
                  <wp:posOffset>1865894</wp:posOffset>
                </wp:positionH>
                <wp:positionV relativeFrom="paragraph">
                  <wp:posOffset>8890</wp:posOffset>
                </wp:positionV>
                <wp:extent cx="201168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BD19609" id="Straight Connector 10"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146.9pt,.7pt" to="305.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" strokecolor="#4472c4 [3204]" strokeweight=".5pt">
                <v:stroke joinstyle="miter"/>
                <w10:wrap anchorx="margin"/>
              </v:line>
            </w:pict>
          </mc:Fallback>
        </mc:AlternateContent>
      </w:r>
    </w:p>
    <w:p w14:paraId="49C801D4" w14:textId="77777777" w:rsidR="00763C18" w:rsidRPr="00A17076" w:rsidRDefault="00763C18" w:rsidP="00763C18">
      <w:pPr>
        <w:jc w:val="center"/>
        <w:rPr>
          <w:b/>
        </w:rPr>
      </w:pPr>
    </w:p>
    <w:p w14:paraId="18FB0A78" w14:textId="77777777" w:rsidR="00763C18" w:rsidRPr="00A17076" w:rsidRDefault="00763C18" w:rsidP="00763C18">
      <w:pPr>
        <w:jc w:val="center"/>
        <w:rPr>
          <w:b/>
        </w:rPr>
      </w:pPr>
      <w:r w:rsidRPr="00A17076">
        <w:rPr>
          <w:b/>
        </w:rPr>
        <w:t>BÁO CÁO TÓM TẮT CÔNG TRÌNH</w:t>
      </w:r>
    </w:p>
    <w:p w14:paraId="71CD5902" w14:textId="77777777" w:rsidR="00763C18" w:rsidRPr="00A17076" w:rsidRDefault="00763C18" w:rsidP="00763C18">
      <w:pPr>
        <w:jc w:val="center"/>
        <w:rPr>
          <w:b/>
        </w:rPr>
      </w:pPr>
      <w:r w:rsidRPr="00A17076">
        <w:rPr>
          <w:b/>
        </w:rPr>
        <w:t xml:space="preserve">Tham gia Cuộc thi “Đổi mới sáng tạo - vì Thái Nguyên thân yêu” </w:t>
      </w:r>
    </w:p>
    <w:p w14:paraId="6DDCA380" w14:textId="77777777" w:rsidR="00763C18" w:rsidRPr="00A17076" w:rsidRDefault="00763C18" w:rsidP="00763C18">
      <w:pPr>
        <w:jc w:val="center"/>
        <w:rPr>
          <w:b/>
        </w:rPr>
      </w:pPr>
      <w:r w:rsidRPr="00A17076">
        <w:rPr>
          <w:b/>
        </w:rPr>
        <w:t>lần thứ nhất, năm 2025</w:t>
      </w:r>
    </w:p>
    <w:p w14:paraId="4479566B" w14:textId="77777777" w:rsidR="00763C18" w:rsidRPr="00A17076" w:rsidRDefault="00763C18" w:rsidP="00763C18">
      <w:r w:rsidRPr="00A17076">
        <w:rPr>
          <w:noProof/>
        </w:rPr>
        <mc:AlternateContent>
          <mc:Choice Requires="wps">
            <w:drawing>
              <wp:anchor distT="0" distB="0" distL="114300" distR="114300" simplePos="0" relativeHeight="251659264" behindDoc="0" locked="0" layoutInCell="1" allowOverlap="1" wp14:anchorId="39FC9B43" wp14:editId="2ADD35E1">
                <wp:simplePos x="0" y="0"/>
                <wp:positionH relativeFrom="column">
                  <wp:posOffset>2291080</wp:posOffset>
                </wp:positionH>
                <wp:positionV relativeFrom="paragraph">
                  <wp:posOffset>22091</wp:posOffset>
                </wp:positionV>
                <wp:extent cx="1114425"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114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E0E909D" id="Straight Connector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0.4pt,1.75pt" to="268.1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" strokecolor="#4472c4 [3204]" strokeweight=".5pt">
                <v:stroke joinstyle="miter"/>
              </v:line>
            </w:pict>
          </mc:Fallback>
        </mc:AlternateContent>
      </w:r>
    </w:p>
    <w:p w14:paraId="7DF51684" w14:textId="1EEFF941" w:rsidR="00763C18" w:rsidRPr="00A17076" w:rsidRDefault="00763C18" w:rsidP="00763C18">
      <w:pPr>
        <w:pStyle w:val="ListParagraph"/>
        <w:numPr>
          <w:ilvl w:val="0"/>
          <w:numId w:val="2"/>
        </w:numPr>
        <w:spacing w:before="120"/>
        <w:ind w:left="900"/>
        <w:jc w:val="both"/>
      </w:pPr>
      <w:r w:rsidRPr="00A17076">
        <w:rPr>
          <w:b/>
        </w:rPr>
        <w:t>Tên công trình</w:t>
      </w:r>
      <w:r w:rsidRPr="00A17076">
        <w:t>:</w:t>
      </w:r>
      <w:r w:rsidR="00546DB4" w:rsidRPr="00546DB4">
        <w:t xml:space="preserve"> </w:t>
      </w:r>
      <w:r w:rsidR="00A40FBC">
        <w:t>“Trồng rau thủy canh thông minh kết hợp du lịch trải nghiệm nông nghiệp xanh” tại TP. Thái Nguyên</w:t>
      </w:r>
    </w:p>
    <w:p w14:paraId="059CAEAF" w14:textId="30B488E1" w:rsidR="00763C18" w:rsidRPr="00A17076" w:rsidRDefault="00763C18" w:rsidP="00546DB4">
      <w:pPr>
        <w:spacing w:before="120"/>
        <w:ind w:left="567"/>
        <w:jc w:val="both"/>
        <w:rPr>
          <w:i/>
        </w:rPr>
      </w:pPr>
      <w:r w:rsidRPr="00A17076">
        <w:rPr>
          <w:b/>
          <w:lang w:eastAsia="vi-VN" w:bidi="vi-VN"/>
        </w:rPr>
        <w:t>2</w:t>
      </w:r>
      <w:r w:rsidR="00546DB4">
        <w:rPr>
          <w:b/>
        </w:rPr>
        <w:t xml:space="preserve">. </w:t>
      </w:r>
      <w:r w:rsidRPr="00A17076">
        <w:rPr>
          <w:b/>
        </w:rPr>
        <w:t>Danh sách tác giả/nhóm tác giả</w:t>
      </w:r>
      <w:r w:rsidRPr="00A17076">
        <w:rPr>
          <w:i/>
        </w:rPr>
        <w:t xml:space="preserve"> </w:t>
      </w:r>
    </w:p>
    <w:tbl>
      <w:tblPr>
        <w:tblStyle w:val="TableGrid"/>
        <w:tblW w:w="8960" w:type="dxa"/>
        <w:tblInd w:w="485" w:type="dxa"/>
        <w:tblLook w:val="04A0" w:firstRow="1" w:lastRow="0" w:firstColumn="1" w:lastColumn="0" w:noHBand="0" w:noVBand="1"/>
      </w:tblPr>
      <w:tblGrid>
        <w:gridCol w:w="617"/>
        <w:gridCol w:w="1559"/>
        <w:gridCol w:w="1086"/>
        <w:gridCol w:w="1291"/>
        <w:gridCol w:w="2017"/>
        <w:gridCol w:w="2390"/>
      </w:tblGrid>
      <w:tr w:rsidR="00A40FBC" w:rsidRPr="00A17076" w14:paraId="2987739D" w14:textId="77777777" w:rsidTr="00A40FBC">
        <w:tc>
          <w:tcPr>
            <w:tcW w:w="617" w:type="dxa"/>
            <w:vAlign w:val="center"/>
          </w:tcPr>
          <w:p w14:paraId="2F8B4EB4" w14:textId="77777777" w:rsidR="00A40FBC" w:rsidRPr="00A17076" w:rsidRDefault="00A40FBC" w:rsidP="00923413">
            <w:pPr>
              <w:jc w:val="center"/>
              <w:rPr>
                <w:b/>
              </w:rPr>
            </w:pPr>
            <w:r w:rsidRPr="00A17076">
              <w:rPr>
                <w:b/>
              </w:rPr>
              <w:t>TT</w:t>
            </w:r>
          </w:p>
        </w:tc>
        <w:tc>
          <w:tcPr>
            <w:tcW w:w="1559" w:type="dxa"/>
            <w:vAlign w:val="center"/>
          </w:tcPr>
          <w:p w14:paraId="0E570D6F" w14:textId="77777777" w:rsidR="00A40FBC" w:rsidRPr="00A17076" w:rsidRDefault="00A40FBC" w:rsidP="00923413">
            <w:pPr>
              <w:jc w:val="center"/>
              <w:rPr>
                <w:b/>
              </w:rPr>
            </w:pPr>
            <w:r w:rsidRPr="00A17076">
              <w:rPr>
                <w:b/>
              </w:rPr>
              <w:t>Họ và tên</w:t>
            </w:r>
          </w:p>
        </w:tc>
        <w:tc>
          <w:tcPr>
            <w:tcW w:w="1086" w:type="dxa"/>
            <w:vAlign w:val="center"/>
          </w:tcPr>
          <w:p w14:paraId="3CAB1E16" w14:textId="77777777" w:rsidR="00A40FBC" w:rsidRPr="00A17076" w:rsidRDefault="00A40FBC" w:rsidP="00923413">
            <w:pPr>
              <w:jc w:val="center"/>
              <w:rPr>
                <w:b/>
              </w:rPr>
            </w:pPr>
            <w:r w:rsidRPr="00A17076">
              <w:rPr>
                <w:b/>
              </w:rPr>
              <w:t>Năm sinh</w:t>
            </w:r>
          </w:p>
        </w:tc>
        <w:tc>
          <w:tcPr>
            <w:tcW w:w="1291" w:type="dxa"/>
            <w:vAlign w:val="center"/>
          </w:tcPr>
          <w:p w14:paraId="0BAE05C4" w14:textId="77777777" w:rsidR="00A40FBC" w:rsidRPr="00A17076" w:rsidRDefault="00A40FBC" w:rsidP="00923413">
            <w:pPr>
              <w:jc w:val="center"/>
              <w:rPr>
                <w:b/>
              </w:rPr>
            </w:pPr>
            <w:r w:rsidRPr="00A17076">
              <w:rPr>
                <w:b/>
              </w:rPr>
              <w:t xml:space="preserve">Địa chỉ </w:t>
            </w:r>
          </w:p>
          <w:p w14:paraId="2E1FE687" w14:textId="77777777" w:rsidR="00A40FBC" w:rsidRPr="00A17076" w:rsidRDefault="00A40FBC" w:rsidP="00923413">
            <w:pPr>
              <w:jc w:val="center"/>
              <w:rPr>
                <w:b/>
              </w:rPr>
            </w:pPr>
            <w:r w:rsidRPr="00A17076">
              <w:rPr>
                <w:b/>
              </w:rPr>
              <w:t>liên hệ</w:t>
            </w:r>
          </w:p>
        </w:tc>
        <w:tc>
          <w:tcPr>
            <w:tcW w:w="2017" w:type="dxa"/>
            <w:vAlign w:val="center"/>
          </w:tcPr>
          <w:p w14:paraId="18DB96F9" w14:textId="77777777" w:rsidR="00A40FBC" w:rsidRPr="00A17076" w:rsidRDefault="00A40FBC" w:rsidP="00923413">
            <w:pPr>
              <w:jc w:val="center"/>
              <w:rPr>
                <w:b/>
              </w:rPr>
            </w:pPr>
            <w:r w:rsidRPr="00A17076">
              <w:rPr>
                <w:b/>
              </w:rPr>
              <w:t>Điện thoại</w:t>
            </w:r>
          </w:p>
          <w:p w14:paraId="3B3B7E56" w14:textId="77777777" w:rsidR="00A40FBC" w:rsidRPr="00A17076" w:rsidRDefault="00A40FBC" w:rsidP="00923413">
            <w:pPr>
              <w:rPr>
                <w:b/>
              </w:rPr>
            </w:pPr>
          </w:p>
        </w:tc>
        <w:tc>
          <w:tcPr>
            <w:tcW w:w="2390" w:type="dxa"/>
            <w:vAlign w:val="center"/>
          </w:tcPr>
          <w:p w14:paraId="746A85B3" w14:textId="77777777" w:rsidR="00A40FBC" w:rsidRPr="00A17076" w:rsidRDefault="00A40FBC" w:rsidP="00923413">
            <w:pPr>
              <w:jc w:val="center"/>
              <w:rPr>
                <w:b/>
              </w:rPr>
            </w:pPr>
            <w:r w:rsidRPr="00A17076">
              <w:rPr>
                <w:b/>
              </w:rPr>
              <w:t xml:space="preserve">Nghề nghiệp, đơn vị công tác, học tập </w:t>
            </w:r>
          </w:p>
        </w:tc>
      </w:tr>
      <w:tr w:rsidR="00A40FBC" w:rsidRPr="00CE3F60" w14:paraId="029A0E9E" w14:textId="77777777" w:rsidTr="00A40FBC">
        <w:tc>
          <w:tcPr>
            <w:tcW w:w="617" w:type="dxa"/>
            <w:vAlign w:val="center"/>
          </w:tcPr>
          <w:p w14:paraId="4C6B09FA" w14:textId="77777777" w:rsidR="00A40FBC" w:rsidRPr="00CE3F60" w:rsidRDefault="00A40FBC" w:rsidP="00923413">
            <w:pPr>
              <w:spacing w:line="360" w:lineRule="auto"/>
              <w:jc w:val="center"/>
            </w:pPr>
            <w:r w:rsidRPr="00CE3F60">
              <w:t>1</w:t>
            </w:r>
          </w:p>
        </w:tc>
        <w:tc>
          <w:tcPr>
            <w:tcW w:w="1559" w:type="dxa"/>
            <w:vAlign w:val="center"/>
          </w:tcPr>
          <w:p w14:paraId="416AA1A6" w14:textId="77777777" w:rsidR="00A40FBC" w:rsidRPr="00CE3F60" w:rsidRDefault="00A40FBC" w:rsidP="00923413">
            <w:pPr>
              <w:spacing w:line="360" w:lineRule="auto"/>
              <w:jc w:val="center"/>
              <w:rPr>
                <w:lang w:val="en-US"/>
              </w:rPr>
            </w:pPr>
            <w:r w:rsidRPr="00CE3F60">
              <w:rPr>
                <w:lang w:val="en-US"/>
              </w:rPr>
              <w:t>Lê Thị Tú Phượng</w:t>
            </w:r>
          </w:p>
        </w:tc>
        <w:tc>
          <w:tcPr>
            <w:tcW w:w="1086" w:type="dxa"/>
          </w:tcPr>
          <w:p w14:paraId="32C83160" w14:textId="77777777" w:rsidR="00A40FBC" w:rsidRPr="00CE3F60" w:rsidRDefault="00A40FBC" w:rsidP="00923413">
            <w:pPr>
              <w:spacing w:line="360" w:lineRule="auto"/>
              <w:jc w:val="center"/>
              <w:rPr>
                <w:lang w:val="en-US"/>
              </w:rPr>
            </w:pPr>
            <w:r w:rsidRPr="00CE3F60">
              <w:rPr>
                <w:lang w:val="en-US"/>
              </w:rPr>
              <w:t>1995</w:t>
            </w:r>
          </w:p>
        </w:tc>
        <w:tc>
          <w:tcPr>
            <w:tcW w:w="1291" w:type="dxa"/>
            <w:vAlign w:val="center"/>
          </w:tcPr>
          <w:p w14:paraId="451B0212" w14:textId="77777777" w:rsidR="00A40FBC" w:rsidRPr="00CE3F60" w:rsidRDefault="00A40FBC" w:rsidP="00923413">
            <w:pPr>
              <w:spacing w:line="360" w:lineRule="auto"/>
              <w:jc w:val="center"/>
              <w:rPr>
                <w:lang w:val="en-US"/>
              </w:rPr>
            </w:pPr>
            <w:r w:rsidRPr="00CE3F60">
              <w:rPr>
                <w:spacing w:val="3"/>
                <w:shd w:val="clear" w:color="auto" w:fill="FFFFFF"/>
              </w:rPr>
              <w:t>Tổ 2, phường Tích Lương, tỉnh Thái Nguyên</w:t>
            </w:r>
          </w:p>
        </w:tc>
        <w:tc>
          <w:tcPr>
            <w:tcW w:w="2017" w:type="dxa"/>
            <w:vAlign w:val="center"/>
          </w:tcPr>
          <w:p w14:paraId="382B5058" w14:textId="77777777" w:rsidR="00A40FBC" w:rsidRPr="00CE3F60" w:rsidRDefault="00A40FBC" w:rsidP="00923413">
            <w:pPr>
              <w:spacing w:line="360" w:lineRule="auto"/>
              <w:jc w:val="center"/>
              <w:rPr>
                <w:lang w:val="en-US"/>
              </w:rPr>
            </w:pPr>
            <w:r w:rsidRPr="00CE3F60">
              <w:t>0339903734</w:t>
            </w:r>
          </w:p>
        </w:tc>
        <w:tc>
          <w:tcPr>
            <w:tcW w:w="2390" w:type="dxa"/>
          </w:tcPr>
          <w:p w14:paraId="70B617B5" w14:textId="77777777" w:rsidR="00A40FBC" w:rsidRPr="00CE3F60" w:rsidRDefault="00A40FBC" w:rsidP="00923413">
            <w:pPr>
              <w:spacing w:line="360" w:lineRule="auto"/>
              <w:jc w:val="center"/>
              <w:rPr>
                <w:lang w:val="en-US"/>
              </w:rPr>
            </w:pPr>
            <w:r w:rsidRPr="00CE3F60">
              <w:rPr>
                <w:lang w:val="en-US"/>
              </w:rPr>
              <w:t>Giáo viên tại Trường tiểu học Hương Sơn</w:t>
            </w:r>
          </w:p>
        </w:tc>
      </w:tr>
      <w:tr w:rsidR="00A40FBC" w:rsidRPr="00CE3F60" w14:paraId="7779A970" w14:textId="77777777" w:rsidTr="00A40FBC">
        <w:tc>
          <w:tcPr>
            <w:tcW w:w="617" w:type="dxa"/>
            <w:vAlign w:val="center"/>
          </w:tcPr>
          <w:p w14:paraId="6B2F6EB4" w14:textId="77777777" w:rsidR="00A40FBC" w:rsidRPr="00CE3F60" w:rsidRDefault="00A40FBC" w:rsidP="00923413">
            <w:pPr>
              <w:spacing w:line="360" w:lineRule="auto"/>
              <w:jc w:val="center"/>
              <w:rPr>
                <w:lang w:val="en-US"/>
              </w:rPr>
            </w:pPr>
            <w:r w:rsidRPr="00CE3F60">
              <w:rPr>
                <w:lang w:val="en-US"/>
              </w:rPr>
              <w:t>2</w:t>
            </w:r>
          </w:p>
        </w:tc>
        <w:tc>
          <w:tcPr>
            <w:tcW w:w="1559" w:type="dxa"/>
            <w:vAlign w:val="center"/>
          </w:tcPr>
          <w:p w14:paraId="15B6EF26" w14:textId="77777777" w:rsidR="00A40FBC" w:rsidRPr="00CE3F60" w:rsidRDefault="00A40FBC" w:rsidP="00923413">
            <w:pPr>
              <w:spacing w:line="360" w:lineRule="auto"/>
              <w:jc w:val="center"/>
            </w:pPr>
            <w:r w:rsidRPr="00CE3F60">
              <w:rPr>
                <w:spacing w:val="3"/>
                <w:shd w:val="clear" w:color="auto" w:fill="FFFFFF"/>
              </w:rPr>
              <w:t>Hà Thị Linh</w:t>
            </w:r>
          </w:p>
        </w:tc>
        <w:tc>
          <w:tcPr>
            <w:tcW w:w="1086" w:type="dxa"/>
          </w:tcPr>
          <w:p w14:paraId="260143AC" w14:textId="77777777" w:rsidR="00A40FBC" w:rsidRPr="00CE3F60" w:rsidRDefault="00A40FBC" w:rsidP="00923413">
            <w:pPr>
              <w:spacing w:line="360" w:lineRule="auto"/>
              <w:jc w:val="center"/>
              <w:rPr>
                <w:lang w:val="en-US"/>
              </w:rPr>
            </w:pPr>
            <w:r w:rsidRPr="00CE3F60">
              <w:rPr>
                <w:lang w:val="en-US"/>
              </w:rPr>
              <w:t>1991</w:t>
            </w:r>
          </w:p>
        </w:tc>
        <w:tc>
          <w:tcPr>
            <w:tcW w:w="1291" w:type="dxa"/>
            <w:vAlign w:val="center"/>
          </w:tcPr>
          <w:p w14:paraId="198DE02C" w14:textId="77777777" w:rsidR="00A40FBC" w:rsidRPr="00CE3F60" w:rsidRDefault="00A40FBC" w:rsidP="00923413">
            <w:pPr>
              <w:spacing w:line="360" w:lineRule="auto"/>
              <w:jc w:val="center"/>
            </w:pPr>
            <w:r w:rsidRPr="00CE3F60">
              <w:rPr>
                <w:spacing w:val="3"/>
                <w:shd w:val="clear" w:color="auto" w:fill="FFFFFF"/>
              </w:rPr>
              <w:t>Xóm Đồng Thái xã Hoá Thượng tỉnh Thái Nguyên</w:t>
            </w:r>
          </w:p>
        </w:tc>
        <w:tc>
          <w:tcPr>
            <w:tcW w:w="2017" w:type="dxa"/>
            <w:vAlign w:val="center"/>
          </w:tcPr>
          <w:p w14:paraId="72DDC4C8" w14:textId="77777777" w:rsidR="00A40FBC" w:rsidRPr="00CE3F60" w:rsidRDefault="00A40FBC" w:rsidP="00923413">
            <w:pPr>
              <w:spacing w:line="360" w:lineRule="auto"/>
              <w:jc w:val="center"/>
            </w:pPr>
            <w:r w:rsidRPr="00CE3F60">
              <w:t>0389282555</w:t>
            </w:r>
          </w:p>
        </w:tc>
        <w:tc>
          <w:tcPr>
            <w:tcW w:w="2390" w:type="dxa"/>
          </w:tcPr>
          <w:p w14:paraId="40D333D4" w14:textId="77777777" w:rsidR="00A40FBC" w:rsidRPr="00CE3F60" w:rsidRDefault="00A40FBC" w:rsidP="00923413">
            <w:pPr>
              <w:spacing w:line="360" w:lineRule="auto"/>
              <w:jc w:val="center"/>
            </w:pPr>
            <w:r w:rsidRPr="00CE3F60">
              <w:rPr>
                <w:lang w:val="en-US"/>
              </w:rPr>
              <w:t>Giáo viên tại Trường tiểu học Hương Sơn</w:t>
            </w:r>
          </w:p>
        </w:tc>
      </w:tr>
    </w:tbl>
    <w:p w14:paraId="7BF5733C" w14:textId="4269893A" w:rsidR="00763C18" w:rsidRPr="00546DB4" w:rsidRDefault="00546DB4" w:rsidP="00546DB4">
      <w:pPr>
        <w:spacing w:before="120"/>
        <w:ind w:left="567"/>
        <w:jc w:val="both"/>
        <w:rPr>
          <w:b/>
          <w:lang w:eastAsia="vi-VN" w:bidi="vi-VN"/>
        </w:rPr>
      </w:pPr>
      <w:r>
        <w:rPr>
          <w:b/>
          <w:lang w:eastAsia="vi-VN" w:bidi="vi-VN"/>
        </w:rPr>
        <w:t xml:space="preserve">3. </w:t>
      </w:r>
      <w:r w:rsidR="00763C18" w:rsidRPr="00546DB4">
        <w:rPr>
          <w:b/>
          <w:lang w:eastAsia="vi-VN" w:bidi="vi-VN"/>
        </w:rPr>
        <w:t>Mô tả về công trình dự thi</w:t>
      </w:r>
    </w:p>
    <w:p w14:paraId="1252CA19" w14:textId="798DA5AC" w:rsidR="00763C18" w:rsidRDefault="00546DB4" w:rsidP="00763C18">
      <w:pPr>
        <w:spacing w:before="120"/>
        <w:ind w:firstLine="567"/>
        <w:jc w:val="both"/>
      </w:pPr>
      <w:r>
        <w:rPr>
          <w:i/>
          <w:lang w:eastAsia="vi-VN" w:bidi="vi-VN"/>
        </w:rPr>
        <w:t>3</w:t>
      </w:r>
      <w:r w:rsidR="00763C18" w:rsidRPr="00A17076">
        <w:rPr>
          <w:i/>
          <w:lang w:eastAsia="vi-VN" w:bidi="vi-VN"/>
        </w:rPr>
        <w:t>.1.</w:t>
      </w:r>
      <w:r w:rsidR="00763C18" w:rsidRPr="00A17076">
        <w:rPr>
          <w:lang w:eastAsia="vi-VN" w:bidi="vi-VN"/>
        </w:rPr>
        <w:t xml:space="preserve"> </w:t>
      </w:r>
      <w:r w:rsidR="00763C18" w:rsidRPr="00A17076">
        <w:rPr>
          <w:i/>
        </w:rPr>
        <w:t xml:space="preserve">Tính đổi mới sáng tạo: </w:t>
      </w:r>
    </w:p>
    <w:p w14:paraId="4CA22632" w14:textId="77777777" w:rsidR="00A40FBC" w:rsidRDefault="00A40FBC" w:rsidP="00A40FBC">
      <w:pPr>
        <w:spacing w:before="120"/>
        <w:ind w:firstLine="567"/>
        <w:jc w:val="both"/>
        <w:rPr>
          <w:lang w:eastAsia="vi-VN" w:bidi="vi-VN"/>
        </w:rPr>
      </w:pPr>
      <w:r>
        <w:rPr>
          <w:lang w:eastAsia="vi-VN" w:bidi="vi-VN"/>
        </w:rPr>
        <w:t xml:space="preserve">Công trình “Trồng rau thủy canh thông minh kết hợp du lịch trải nghiệm nông nghiệp xanh” được xây dựng với mục tiêu ứng dụng công nghệ cao vào sản xuất </w:t>
      </w:r>
      <w:r>
        <w:rPr>
          <w:lang w:eastAsia="vi-VN" w:bidi="vi-VN"/>
        </w:rPr>
        <w:lastRenderedPageBreak/>
        <w:t>nông nghiệp đô thị, đồng thời tạo không gian trải nghiệm – giáo dục – du lịch xanh cho người dân và du khách khi đến với Thái Nguyên.</w:t>
      </w:r>
    </w:p>
    <w:p w14:paraId="03A022EF" w14:textId="77777777" w:rsidR="00A40FBC" w:rsidRDefault="00A40FBC" w:rsidP="00A40FBC">
      <w:pPr>
        <w:spacing w:before="120"/>
        <w:ind w:firstLine="567"/>
        <w:jc w:val="both"/>
        <w:rPr>
          <w:lang w:eastAsia="vi-VN" w:bidi="vi-VN"/>
        </w:rPr>
      </w:pPr>
      <w:r>
        <w:rPr>
          <w:lang w:eastAsia="vi-VN" w:bidi="vi-VN"/>
        </w:rPr>
        <w:t>Mô hình áp dụng công nghệ IoT (Internet of Things) để tự động điều khiển dinh dưỡng, ánh sáng, và độ ẩm trong hệ thống thủy canh. Các thông số được giám sát và điều chỉnh qua điện thoại thông minh. Nhờ đó, cây rau sinh trưởng ổn định, không phụ thuộc thời tiết, không sử dụng thuốc bảo vệ thực vật, bảo đảm an toàn vệ sinh thực phẩm.</w:t>
      </w:r>
    </w:p>
    <w:p w14:paraId="5D98E94E" w14:textId="77777777" w:rsidR="00A40FBC" w:rsidRDefault="00A40FBC" w:rsidP="00A40FBC">
      <w:pPr>
        <w:spacing w:before="120"/>
        <w:ind w:firstLine="567"/>
        <w:jc w:val="both"/>
        <w:rPr>
          <w:lang w:eastAsia="vi-VN" w:bidi="vi-VN"/>
        </w:rPr>
      </w:pPr>
      <w:r>
        <w:rPr>
          <w:lang w:eastAsia="vi-VN" w:bidi="vi-VN"/>
        </w:rPr>
        <w:t>Điểm mới và sáng tạo của công trình là kết hợp giữa sản xuất nông nghiệp công nghệ cao với phát triển du lịch trải nghiệm, biến mô hình trồng rau thành điểm đến giáo dục xanh cho học sinh, sinh viên và du khách. Đây là hướng đi mới, chưa phổ biến tại Thái Nguyên, thể hiện tư duy đổi mới trong phát triển kinh tế nông nghiệp gắn với du lịch sinh thái.</w:t>
      </w:r>
    </w:p>
    <w:p w14:paraId="0D1FD9F5" w14:textId="21192B25" w:rsidR="00763C18" w:rsidRDefault="00546DB4" w:rsidP="00A40FBC">
      <w:pPr>
        <w:spacing w:before="120"/>
        <w:ind w:firstLine="567"/>
        <w:jc w:val="both"/>
      </w:pPr>
      <w:r>
        <w:rPr>
          <w:i/>
          <w:lang w:eastAsia="vi-VN" w:bidi="vi-VN"/>
        </w:rPr>
        <w:t>3</w:t>
      </w:r>
      <w:r w:rsidR="00763C18" w:rsidRPr="00A17076">
        <w:rPr>
          <w:i/>
          <w:lang w:eastAsia="vi-VN" w:bidi="vi-VN"/>
        </w:rPr>
        <w:t>.2.</w:t>
      </w:r>
      <w:r w:rsidR="00763C18" w:rsidRPr="00A17076">
        <w:rPr>
          <w:lang w:eastAsia="vi-VN" w:bidi="vi-VN"/>
        </w:rPr>
        <w:t xml:space="preserve"> </w:t>
      </w:r>
      <w:r w:rsidR="00763C18" w:rsidRPr="00A17076">
        <w:rPr>
          <w:i/>
        </w:rPr>
        <w:t>Hiệu quả kinh tế - xã hội</w:t>
      </w:r>
      <w:r>
        <w:t>:</w:t>
      </w:r>
    </w:p>
    <w:p w14:paraId="4301780E" w14:textId="77777777" w:rsidR="00A40FBC" w:rsidRDefault="00A40FBC" w:rsidP="00A40FBC">
      <w:pPr>
        <w:spacing w:before="120"/>
        <w:ind w:firstLine="567"/>
        <w:jc w:val="both"/>
      </w:pPr>
      <w:r>
        <w:t>- Sau hơn một năm triển khai, công trình đã đạt được hiệu quả rõ rệt:</w:t>
      </w:r>
    </w:p>
    <w:p w14:paraId="2A677D11" w14:textId="77777777" w:rsidR="00A40FBC" w:rsidRDefault="00A40FBC" w:rsidP="00A40FBC">
      <w:pPr>
        <w:spacing w:before="120"/>
        <w:ind w:firstLine="567"/>
        <w:jc w:val="both"/>
      </w:pPr>
      <w:r>
        <w:t>+ Năng suất tăng 30–40% so với trồng rau truyền thống.</w:t>
      </w:r>
    </w:p>
    <w:p w14:paraId="5F35AFB1" w14:textId="77777777" w:rsidR="00A40FBC" w:rsidRDefault="00A40FBC" w:rsidP="00A40FBC">
      <w:pPr>
        <w:spacing w:before="120"/>
        <w:ind w:firstLine="567"/>
        <w:jc w:val="both"/>
      </w:pPr>
      <w:r>
        <w:t>+ Tỷ lệ hao hụt giảm 80%, sản phẩm đạt tiêu chuẩn an toàn thực phẩm.</w:t>
      </w:r>
    </w:p>
    <w:p w14:paraId="29A2142F" w14:textId="77777777" w:rsidR="00A40FBC" w:rsidRDefault="00A40FBC" w:rsidP="00A40FBC">
      <w:pPr>
        <w:spacing w:before="120"/>
        <w:ind w:firstLine="567"/>
        <w:jc w:val="both"/>
      </w:pPr>
      <w:r>
        <w:t>+ Giá trị kinh tế tăng gấp 2 lần do sản phẩm chất lượng cao và bán kết hợp dịch vụ du lịch trải nghiệm.</w:t>
      </w:r>
    </w:p>
    <w:p w14:paraId="49ED24B8" w14:textId="77777777" w:rsidR="00A40FBC" w:rsidRDefault="00A40FBC" w:rsidP="00A40FBC">
      <w:pPr>
        <w:spacing w:before="120"/>
        <w:ind w:firstLine="567"/>
        <w:jc w:val="both"/>
      </w:pPr>
      <w:r>
        <w:t>+ Doanh thu bình quân đạt 500–600 triệu đồng/ha/năm, cao hơn nhiều so với canh tác đất.</w:t>
      </w:r>
    </w:p>
    <w:p w14:paraId="07F24CD2" w14:textId="77777777" w:rsidR="00A40FBC" w:rsidRDefault="00A40FBC" w:rsidP="00A40FBC">
      <w:pPr>
        <w:spacing w:before="120"/>
        <w:ind w:firstLine="567"/>
        <w:jc w:val="both"/>
      </w:pPr>
      <w:r>
        <w:t>- Về mặt xã hội, mô hình đã tạo việc làm ổn định cho 15–20 lao động địa phương, đồng thời trở thành điểm đến học tập thực tế cho các trường học trên địa bàn thành phố Thái Nguyên. Không sử dụng thuốc hóa học giúp bảo vệ môi trường và sức khỏe cộng đồng, đồng thời góp phần thực hiện mục tiêu xây dựng nông nghiệp xanh – đô thị thông minh – phát triển bền vững.</w:t>
      </w:r>
    </w:p>
    <w:p w14:paraId="19F93A50" w14:textId="716D44B8" w:rsidR="00763C18" w:rsidRDefault="00546DB4" w:rsidP="00A40FBC">
      <w:pPr>
        <w:spacing w:before="120"/>
        <w:ind w:firstLine="567"/>
        <w:jc w:val="both"/>
      </w:pPr>
      <w:r>
        <w:rPr>
          <w:i/>
        </w:rPr>
        <w:t>3</w:t>
      </w:r>
      <w:r w:rsidR="00763C18" w:rsidRPr="00A17076">
        <w:rPr>
          <w:i/>
        </w:rPr>
        <w:t>.3. Khả năng áp dụng</w:t>
      </w:r>
      <w:r>
        <w:t>:</w:t>
      </w:r>
    </w:p>
    <w:p w14:paraId="514824B7" w14:textId="77777777" w:rsidR="00A40FBC" w:rsidRDefault="00A40FBC" w:rsidP="00A40FBC">
      <w:pPr>
        <w:spacing w:before="120"/>
        <w:ind w:firstLine="567"/>
      </w:pPr>
      <w:r>
        <w:t>Hiện nay, mô hình được triển khai trên diện tích 2.000 m² tại phường Tân Lập, TP. Thái Nguyên, bước đầu đã cho kết quả khả quan. Sau giai đoạn thử nghiệm, mô hình được nhiều hộ dân và hợp tác xã đến tham quan, học tập, và đang được nhân rộng tại các xã vùng ven đô như Quyết Thắng, Thịnh Đức, Phúc Trìu.</w:t>
      </w:r>
    </w:p>
    <w:p w14:paraId="2B642674" w14:textId="77777777" w:rsidR="00A40FBC" w:rsidRDefault="00A40FBC" w:rsidP="00A40FBC">
      <w:pPr>
        <w:spacing w:before="120"/>
        <w:ind w:firstLine="567"/>
      </w:pPr>
      <w:r>
        <w:t>Công trình có tính khả thi cao vì chi phí đầu tư ban đầu không quá lớn, có thể triển khai trên diện tích nhỏ, phù hợp với điều kiện đô thị và nông thôn. Mô hình có thể áp dụng rộng rãi tại các trường học, khu du lịch sinh thái, hoặc hộ gia đình, góp phần hình thành chuỗi nông nghiệp xanh – du lịch trải nghiệm – giáo dục môi trường trên địa bàn tỉnh Thái Nguyên.</w:t>
      </w:r>
    </w:p>
    <w:p w14:paraId="093ECC48" w14:textId="4A0ABD1C" w:rsidR="00763C18" w:rsidRPr="00A17076" w:rsidRDefault="00546DB4" w:rsidP="00A40FBC">
      <w:pPr>
        <w:spacing w:before="120"/>
        <w:ind w:firstLine="567"/>
        <w:rPr>
          <w:b/>
        </w:rPr>
      </w:pPr>
      <w:r>
        <w:rPr>
          <w:b/>
        </w:rPr>
        <w:lastRenderedPageBreak/>
        <w:t>4</w:t>
      </w:r>
      <w:r w:rsidR="00763C18" w:rsidRPr="00A17076">
        <w:rPr>
          <w:b/>
        </w:rPr>
        <w:t>. Điều kiện thực hiện và định hướng phát triển</w:t>
      </w:r>
    </w:p>
    <w:p w14:paraId="492FA8FE" w14:textId="6FF760A2" w:rsidR="00763C18" w:rsidRDefault="00546DB4" w:rsidP="00763C18">
      <w:pPr>
        <w:spacing w:before="120"/>
        <w:ind w:firstLine="567"/>
        <w:jc w:val="both"/>
      </w:pPr>
      <w:r>
        <w:t>4</w:t>
      </w:r>
      <w:r w:rsidR="00763C18" w:rsidRPr="00A17076">
        <w:t xml:space="preserve">.1. Điều kiện thực hiện: </w:t>
      </w:r>
    </w:p>
    <w:p w14:paraId="0FC97095" w14:textId="77777777" w:rsidR="00A40FBC" w:rsidRDefault="00A40FBC" w:rsidP="00A40FBC">
      <w:pPr>
        <w:spacing w:before="120"/>
        <w:ind w:firstLine="567"/>
        <w:jc w:val="both"/>
      </w:pPr>
      <w:r>
        <w:t>- Để triển khai công trình, cần bảo đảm các điều kiện sau:</w:t>
      </w:r>
    </w:p>
    <w:p w14:paraId="3DF0BAD4" w14:textId="77777777" w:rsidR="00A40FBC" w:rsidRDefault="00A40FBC" w:rsidP="00A40FBC">
      <w:pPr>
        <w:spacing w:before="120"/>
        <w:ind w:firstLine="567"/>
        <w:jc w:val="both"/>
      </w:pPr>
      <w:r>
        <w:t>+ Nhân lực: Đội ngũ kỹ sư nông nghiệp và cán bộ kỹ thuật am hiểu về thủy canh, IoT, đồng thời tập huấn kỹ năng cho người lao động vận hành hệ thống.</w:t>
      </w:r>
    </w:p>
    <w:p w14:paraId="573C216B" w14:textId="77777777" w:rsidR="00A40FBC" w:rsidRDefault="00A40FBC" w:rsidP="00A40FBC">
      <w:pPr>
        <w:spacing w:before="120"/>
        <w:ind w:firstLine="567"/>
        <w:jc w:val="both"/>
      </w:pPr>
      <w:r>
        <w:t>+ Trang thiết bị: Hệ thống giàn trồng thủy canh, bơm tuần hoàn, cảm biến đo độ pH và dinh dưỡng, hệ thống chiếu sáng LED, phần mềm điều khiển tự động.</w:t>
      </w:r>
    </w:p>
    <w:p w14:paraId="38DAEDDF" w14:textId="77777777" w:rsidR="00A40FBC" w:rsidRDefault="00A40FBC" w:rsidP="00A40FBC">
      <w:pPr>
        <w:spacing w:before="120"/>
        <w:ind w:firstLine="567"/>
        <w:jc w:val="both"/>
      </w:pPr>
      <w:r>
        <w:t>+ Kỹ thuật: Quy trình trồng, thu hoạch, sơ chế đảm bảo tiêu chuẩn VietGAP.</w:t>
      </w:r>
    </w:p>
    <w:p w14:paraId="41E46259" w14:textId="77777777" w:rsidR="00A40FBC" w:rsidRDefault="00A40FBC" w:rsidP="00A40FBC">
      <w:pPr>
        <w:spacing w:before="120"/>
        <w:ind w:firstLine="567"/>
        <w:jc w:val="both"/>
      </w:pPr>
      <w:r>
        <w:t>+ Tài chính: Nguồn vốn ban đầu được huy động từ chủ đầu tư và chương trình khuyến khích đổi mới sáng tạo của tỉnh.</w:t>
      </w:r>
    </w:p>
    <w:p w14:paraId="61862D19" w14:textId="77777777" w:rsidR="00A40FBC" w:rsidRDefault="00A40FBC" w:rsidP="00A40FBC">
      <w:pPr>
        <w:spacing w:before="120"/>
        <w:ind w:firstLine="567"/>
        <w:jc w:val="both"/>
      </w:pPr>
      <w:r>
        <w:t>+ Cơ chế hỗ trợ: Chính quyền địa phương tạo điều kiện về mặt bằng, kết nối tiêu thụ sản phẩm, quảng bá du lịch.</w:t>
      </w:r>
    </w:p>
    <w:p w14:paraId="2BB8BB94" w14:textId="4B93007A" w:rsidR="00546DB4" w:rsidRDefault="00546DB4" w:rsidP="00A40FBC">
      <w:pPr>
        <w:spacing w:before="120"/>
        <w:ind w:firstLine="567"/>
        <w:jc w:val="both"/>
      </w:pPr>
      <w:r>
        <w:t>4</w:t>
      </w:r>
      <w:r w:rsidR="00763C18" w:rsidRPr="00A17076">
        <w:t xml:space="preserve">.2. Định hướng phát triển: </w:t>
      </w:r>
    </w:p>
    <w:p w14:paraId="4E2254BE" w14:textId="77777777" w:rsidR="00A40FBC" w:rsidRDefault="00A40FBC" w:rsidP="00A40FBC">
      <w:pPr>
        <w:spacing w:before="120"/>
        <w:ind w:firstLine="567"/>
        <w:jc w:val="both"/>
        <w:rPr>
          <w:lang w:eastAsia="vi-VN" w:bidi="vi-VN"/>
        </w:rPr>
      </w:pPr>
      <w:r>
        <w:rPr>
          <w:lang w:eastAsia="vi-VN" w:bidi="vi-VN"/>
        </w:rPr>
        <w:t xml:space="preserve">- Khó khăn: Chi phí đầu tư ban đầu cho hệ thống thủy canh và thiết bị IoT còn cao; Cần nâng cao nhận thức người dân về sản phẩm sạch và mô hình du lịch nông </w:t>
      </w:r>
      <w:proofErr w:type="gramStart"/>
      <w:r>
        <w:rPr>
          <w:lang w:eastAsia="vi-VN" w:bidi="vi-VN"/>
        </w:rPr>
        <w:t>nghiệp;Thiếu</w:t>
      </w:r>
      <w:proofErr w:type="gramEnd"/>
      <w:r>
        <w:rPr>
          <w:lang w:eastAsia="vi-VN" w:bidi="vi-VN"/>
        </w:rPr>
        <w:t xml:space="preserve"> nguồn nhân lực am hiểu kỹ thuật công nghệ cao trong nông nghiệp.</w:t>
      </w:r>
    </w:p>
    <w:p w14:paraId="1619EBB2" w14:textId="77777777" w:rsidR="00A40FBC" w:rsidRDefault="00A40FBC" w:rsidP="00A40FBC">
      <w:pPr>
        <w:spacing w:before="120"/>
        <w:ind w:firstLine="567"/>
        <w:jc w:val="both"/>
        <w:rPr>
          <w:lang w:eastAsia="vi-VN" w:bidi="vi-VN"/>
        </w:rPr>
      </w:pPr>
      <w:r>
        <w:rPr>
          <w:lang w:eastAsia="vi-VN" w:bidi="vi-VN"/>
        </w:rPr>
        <w:t>- Giải pháp khắc phục: Kêu gọi hợp tác, đầu tư từ doanh nghiệp và các tổ chức khởi nghiệp nông nghiệp; Tổ chức tập huấn, truyền thông để lan tỏa mô hình; Liên kết với các trường học, trung tâm du lịch để tạo chuỗi dịch vụ bền vững.</w:t>
      </w:r>
    </w:p>
    <w:p w14:paraId="65A6778E" w14:textId="77777777" w:rsidR="00A40FBC" w:rsidRDefault="00A40FBC" w:rsidP="00A40FBC">
      <w:pPr>
        <w:spacing w:before="120"/>
        <w:ind w:firstLine="567"/>
        <w:jc w:val="both"/>
        <w:rPr>
          <w:lang w:eastAsia="vi-VN" w:bidi="vi-VN"/>
        </w:rPr>
      </w:pPr>
      <w:r>
        <w:rPr>
          <w:lang w:eastAsia="vi-VN" w:bidi="vi-VN"/>
        </w:rPr>
        <w:t>- Định hướng phát triển: Mở rộng mô hình lên 10.000 m² tại các khu đô thị và vùng ven TP. Thái Nguyên; Xây dựng thương hiệu “Nông trại xanh Thái Nguyên” kết hợp sản xuất – du lịch – giáo dục; Góp phần đưa Thái Nguyên trở thành trung tâm nông nghiệp công nghệ cao và du lịch trải nghiệm xanh của vùng trung du miền núi phía Bắc.</w:t>
      </w:r>
    </w:p>
    <w:p w14:paraId="0372C95C" w14:textId="77777777" w:rsidR="00A40FBC" w:rsidRPr="00A17076" w:rsidRDefault="00A40FBC" w:rsidP="00A40FBC">
      <w:pPr>
        <w:spacing w:before="120"/>
        <w:ind w:firstLine="567"/>
        <w:jc w:val="both"/>
        <w:rPr>
          <w:lang w:eastAsia="vi-VN" w:bidi="vi-VN"/>
        </w:rPr>
      </w:pPr>
      <w:r>
        <w:rPr>
          <w:lang w:eastAsia="vi-VN" w:bidi="vi-VN"/>
        </w:rPr>
        <w:t>Chúng</w:t>
      </w:r>
      <w:r w:rsidR="00763C18" w:rsidRPr="00A17076">
        <w:rPr>
          <w:lang w:eastAsia="vi-VN" w:bidi="vi-VN"/>
        </w:rPr>
        <w:t xml:space="preserve"> tôi c</w:t>
      </w:r>
      <w:r w:rsidR="00763C18" w:rsidRPr="00A17076">
        <w:rPr>
          <w:lang w:val="vi-VN" w:eastAsia="vi-VN" w:bidi="vi-VN"/>
        </w:rPr>
        <w:t xml:space="preserve">am đoan về những nội dung ghi trong hồ sơ dự thi là </w:t>
      </w:r>
      <w:r w:rsidR="00763C18" w:rsidRPr="00A17076">
        <w:rPr>
          <w:lang w:eastAsia="vi-VN" w:bidi="vi-VN"/>
        </w:rPr>
        <w:t xml:space="preserve">chính xác, đúng </w:t>
      </w:r>
      <w:r w:rsidR="00763C18" w:rsidRPr="00A17076">
        <w:rPr>
          <w:lang w:val="vi-VN" w:eastAsia="vi-VN" w:bidi="vi-VN"/>
        </w:rPr>
        <w:t>sự thật</w:t>
      </w:r>
      <w:r>
        <w:t>.</w:t>
      </w:r>
      <w:r w:rsidR="00763C18" w:rsidRPr="00A17076">
        <w:t xml:space="preserve">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tblGrid>
      <w:tr w:rsidR="00A40FBC" w:rsidRPr="00A17076" w14:paraId="35F77795" w14:textId="77777777" w:rsidTr="00923413">
        <w:trPr>
          <w:jc w:val="right"/>
        </w:trPr>
        <w:tc>
          <w:tcPr>
            <w:tcW w:w="5382" w:type="dxa"/>
          </w:tcPr>
          <w:p w14:paraId="65A37250" w14:textId="77777777" w:rsidR="00A40FBC" w:rsidRPr="00A17076" w:rsidRDefault="00A40FBC" w:rsidP="00923413">
            <w:pPr>
              <w:jc w:val="center"/>
              <w:rPr>
                <w:i/>
              </w:rPr>
            </w:pPr>
            <w:r w:rsidRPr="00A17076">
              <w:rPr>
                <w:i/>
              </w:rPr>
              <w:t xml:space="preserve">Thái Nguyên, ngày </w:t>
            </w:r>
            <w:r>
              <w:rPr>
                <w:i/>
                <w:lang w:val="en-US"/>
              </w:rPr>
              <w:t xml:space="preserve">31 </w:t>
            </w:r>
            <w:r w:rsidRPr="00A17076">
              <w:rPr>
                <w:i/>
              </w:rPr>
              <w:t>tháng</w:t>
            </w:r>
            <w:r>
              <w:rPr>
                <w:i/>
                <w:lang w:val="en-US"/>
              </w:rPr>
              <w:t xml:space="preserve"> 10</w:t>
            </w:r>
            <w:r w:rsidRPr="00A17076">
              <w:rPr>
                <w:i/>
              </w:rPr>
              <w:t xml:space="preserve"> năm 2025</w:t>
            </w:r>
          </w:p>
          <w:p w14:paraId="4A654120" w14:textId="77777777" w:rsidR="00A40FBC" w:rsidRPr="00A17076" w:rsidRDefault="00A40FBC" w:rsidP="00923413">
            <w:pPr>
              <w:jc w:val="center"/>
              <w:rPr>
                <w:b/>
              </w:rPr>
            </w:pPr>
            <w:r>
              <w:rPr>
                <w:b/>
              </w:rPr>
              <w:t>Đại diện nhóm cá nhân</w:t>
            </w:r>
          </w:p>
          <w:p w14:paraId="29804F34" w14:textId="77777777" w:rsidR="00A40FBC" w:rsidRPr="00A17076" w:rsidRDefault="00A40FBC" w:rsidP="00923413">
            <w:pPr>
              <w:jc w:val="center"/>
              <w:rPr>
                <w:i/>
              </w:rPr>
            </w:pPr>
            <w:r w:rsidRPr="00A17076">
              <w:rPr>
                <w:i/>
              </w:rPr>
              <w:t>(Ký tên, ghi rõ họ và tên)</w:t>
            </w:r>
          </w:p>
          <w:p w14:paraId="3A6B4AEB" w14:textId="77777777" w:rsidR="00A40FBC" w:rsidRPr="00346452" w:rsidRDefault="00A40FBC" w:rsidP="00923413">
            <w:pPr>
              <w:jc w:val="center"/>
              <w:rPr>
                <w:b/>
                <w:lang w:val="en-US"/>
              </w:rPr>
            </w:pPr>
            <w:r>
              <w:rPr>
                <w:b/>
                <w:lang w:val="en-US"/>
              </w:rPr>
              <w:t>Linh</w:t>
            </w:r>
          </w:p>
          <w:p w14:paraId="4125E8B8" w14:textId="77777777" w:rsidR="00A40FBC" w:rsidRDefault="00A40FBC" w:rsidP="00923413">
            <w:pPr>
              <w:jc w:val="center"/>
              <w:rPr>
                <w:b/>
                <w:lang w:val="en-US"/>
              </w:rPr>
            </w:pPr>
          </w:p>
          <w:p w14:paraId="665DC265" w14:textId="77777777" w:rsidR="00A40FBC" w:rsidRPr="00A17076" w:rsidRDefault="00A40FBC" w:rsidP="00923413">
            <w:pPr>
              <w:jc w:val="center"/>
              <w:rPr>
                <w:b/>
              </w:rPr>
            </w:pPr>
            <w:r>
              <w:rPr>
                <w:b/>
                <w:lang w:val="en-US"/>
              </w:rPr>
              <w:t>Hà Thị Linh</w:t>
            </w:r>
          </w:p>
        </w:tc>
      </w:tr>
    </w:tbl>
    <w:p w14:paraId="50C40555" w14:textId="7BF50FF9" w:rsidR="00763C18" w:rsidRPr="00A17076" w:rsidRDefault="00763C18" w:rsidP="00A40FBC">
      <w:pPr>
        <w:spacing w:before="120"/>
        <w:ind w:firstLine="567"/>
        <w:jc w:val="both"/>
        <w:rPr>
          <w:lang w:eastAsia="vi-VN" w:bidi="vi-VN"/>
        </w:rPr>
      </w:pPr>
      <w:bookmarkStart w:id="0" w:name="_GoBack"/>
      <w:bookmarkEnd w:id="0"/>
    </w:p>
    <w:sectPr w:rsidR="00763C18" w:rsidRPr="00A170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015507"/>
    <w:multiLevelType w:val="hybridMultilevel"/>
    <w:tmpl w:val="C7F0C41A"/>
    <w:lvl w:ilvl="0" w:tplc="BDBC4ABA">
      <w:start w:val="1"/>
      <w:numFmt w:val="decimal"/>
      <w:lvlText w:val="%1."/>
      <w:lvlJc w:val="left"/>
      <w:pPr>
        <w:ind w:left="1647" w:hanging="360"/>
      </w:pPr>
      <w:rPr>
        <w:b/>
        <w:bCs/>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 w15:restartNumberingAfterBreak="0">
    <w:nsid w:val="7DB2758A"/>
    <w:multiLevelType w:val="hybridMultilevel"/>
    <w:tmpl w:val="25048638"/>
    <w:lvl w:ilvl="0" w:tplc="732A8D10">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C18"/>
    <w:rsid w:val="00135AC0"/>
    <w:rsid w:val="00446543"/>
    <w:rsid w:val="00546DB4"/>
    <w:rsid w:val="0058337A"/>
    <w:rsid w:val="006A1E15"/>
    <w:rsid w:val="00763C18"/>
    <w:rsid w:val="007E2E33"/>
    <w:rsid w:val="008733B9"/>
    <w:rsid w:val="00903BDB"/>
    <w:rsid w:val="00A40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8CC13"/>
  <w15:chartTrackingRefBased/>
  <w15:docId w15:val="{D94A99BA-80C4-4393-B559-AB7731F20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C18"/>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763C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3C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3C18"/>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763C1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63C1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63C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3C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3C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3C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C1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3C1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3C1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3C1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63C1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63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C18"/>
    <w:rPr>
      <w:rFonts w:eastAsiaTheme="majorEastAsia" w:cstheme="majorBidi"/>
      <w:color w:val="272727" w:themeColor="text1" w:themeTint="D8"/>
    </w:rPr>
  </w:style>
  <w:style w:type="paragraph" w:styleId="Title">
    <w:name w:val="Title"/>
    <w:basedOn w:val="Normal"/>
    <w:next w:val="Normal"/>
    <w:link w:val="TitleChar"/>
    <w:uiPriority w:val="10"/>
    <w:qFormat/>
    <w:rsid w:val="00763C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C18"/>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763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C18"/>
    <w:pPr>
      <w:spacing w:before="160"/>
      <w:jc w:val="center"/>
    </w:pPr>
    <w:rPr>
      <w:i/>
      <w:iCs/>
      <w:color w:val="404040" w:themeColor="text1" w:themeTint="BF"/>
    </w:rPr>
  </w:style>
  <w:style w:type="character" w:customStyle="1" w:styleId="QuoteChar">
    <w:name w:val="Quote Char"/>
    <w:basedOn w:val="DefaultParagraphFont"/>
    <w:link w:val="Quote"/>
    <w:uiPriority w:val="29"/>
    <w:rsid w:val="00763C18"/>
    <w:rPr>
      <w:i/>
      <w:iCs/>
      <w:color w:val="404040" w:themeColor="text1" w:themeTint="BF"/>
    </w:rPr>
  </w:style>
  <w:style w:type="paragraph" w:styleId="ListParagraph">
    <w:name w:val="List Paragraph"/>
    <w:basedOn w:val="Normal"/>
    <w:uiPriority w:val="34"/>
    <w:qFormat/>
    <w:rsid w:val="00763C18"/>
    <w:pPr>
      <w:ind w:left="720"/>
      <w:contextualSpacing/>
    </w:pPr>
  </w:style>
  <w:style w:type="character" w:styleId="IntenseEmphasis">
    <w:name w:val="Intense Emphasis"/>
    <w:basedOn w:val="DefaultParagraphFont"/>
    <w:uiPriority w:val="21"/>
    <w:qFormat/>
    <w:rsid w:val="00763C18"/>
    <w:rPr>
      <w:i/>
      <w:iCs/>
      <w:color w:val="2F5496" w:themeColor="accent1" w:themeShade="BF"/>
    </w:rPr>
  </w:style>
  <w:style w:type="paragraph" w:styleId="IntenseQuote">
    <w:name w:val="Intense Quote"/>
    <w:basedOn w:val="Normal"/>
    <w:next w:val="Normal"/>
    <w:link w:val="IntenseQuoteChar"/>
    <w:uiPriority w:val="30"/>
    <w:qFormat/>
    <w:rsid w:val="00763C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3C18"/>
    <w:rPr>
      <w:i/>
      <w:iCs/>
      <w:color w:val="2F5496" w:themeColor="accent1" w:themeShade="BF"/>
    </w:rPr>
  </w:style>
  <w:style w:type="character" w:styleId="IntenseReference">
    <w:name w:val="Intense Reference"/>
    <w:basedOn w:val="DefaultParagraphFont"/>
    <w:uiPriority w:val="32"/>
    <w:qFormat/>
    <w:rsid w:val="00763C18"/>
    <w:rPr>
      <w:b/>
      <w:bCs/>
      <w:smallCaps/>
      <w:color w:val="2F5496" w:themeColor="accent1" w:themeShade="BF"/>
      <w:spacing w:val="5"/>
    </w:rPr>
  </w:style>
  <w:style w:type="table" w:styleId="TableGrid">
    <w:name w:val="Table Grid"/>
    <w:basedOn w:val="TableNormal"/>
    <w:uiPriority w:val="39"/>
    <w:rsid w:val="00763C18"/>
    <w:pPr>
      <w:spacing w:after="0" w:line="240" w:lineRule="auto"/>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46DB4"/>
    <w:pPr>
      <w:spacing w:before="100" w:beforeAutospacing="1" w:after="100" w:afterAutospacing="1"/>
    </w:pPr>
    <w:rPr>
      <w:sz w:val="24"/>
      <w:szCs w:val="24"/>
    </w:rPr>
  </w:style>
  <w:style w:type="character" w:styleId="Strong">
    <w:name w:val="Strong"/>
    <w:basedOn w:val="DefaultParagraphFont"/>
    <w:uiPriority w:val="22"/>
    <w:qFormat/>
    <w:rsid w:val="00546D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4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4181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Nhật Minh Hoàng</dc:creator>
  <cp:keywords/>
  <dc:description/>
  <cp:lastModifiedBy>HP</cp:lastModifiedBy>
  <cp:revision>2</cp:revision>
  <dcterms:created xsi:type="dcterms:W3CDTF">2025-10-31T13:59:00Z</dcterms:created>
  <dcterms:modified xsi:type="dcterms:W3CDTF">2025-10-31T13:59:00Z</dcterms:modified>
</cp:coreProperties>
</file>